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15 220 vom 4. April 2017</w:t>
      </w:r>
    </w:p>
    <w:p>
      <w:r>
        <w:t>VS Kantonsgericht, 2017-04-04, FR</w:t>
      </w:r>
    </w:p>
    <w:p>
      <w:r>
        <w:rPr>
          <w:b/>
        </w:rPr>
        <w:t xml:space="preserve">Quelle: </w:t>
      </w:r>
      <w:r>
        <w:t>https://mcp.opencaselaw.ch/entscheid/vs_gerichte_C1 15 220</w:t>
      </w:r>
    </w:p>
    <w:p>
      <w:r>
        <w:t>FR: VS_GERICHTE C1 15 220 du 4 avril 2017</w:t>
      </w:r>
    </w:p>
    <w:p>
      <w:r>
        <w:t>IT: VS_GERICHTE C1 15 220 del 4 aprile 2017</w:t>
      </w:r>
    </w:p>
    <w:p>
      <w:pPr>
        <w:pStyle w:val="Heading2"/>
      </w:pPr>
      <w:r>
        <w:t>Regeste</w:t>
      </w:r>
    </w:p>
    <w:p>
      <w:r>
        <w:t>RVJ / ZWR 2018 271 Droit des obligations Obligationenrecht Clause pénale - ATC (Cour civile II) du 4 avril 2017, X. c. Y. SA - TCV C1 15 220 Clause pénale ; fardeau de la preuve - Portée d’une clause pénale figurant dans un contrat mixte combinant des éléments de la vente et du contrat d’hôtellerie (consid. 3.1.3 et 3.2.1). - Il incombait au demandeur d’alléguer et d’établir les éléments permettant de détermi- ner précisément l’ampleur de la peine (variable) prévue par la clause pénale dont il a réclamé le paiement (consid. 4). Konventionalstrafe; Beweislast - Bedeutung einer Konventionalstrafe in einem gemischten Vertrag, welcher aus Ele- menten des Kauf- und Hotelvertrags besteht (E. 3.1.3 – 3.2.1). - Es obliegt dem Kläger, die Elemente zu behaupten und zu beweisen, welche es erlauben, den Umfang der von ihm geltend gemachten (variablen) Konventionalstrafe zu bestimmen (E. 4). Faits (résumé)</w:t>
      </w:r>
    </w:p>
    <w:p>
      <w:pPr>
        <w:pStyle w:val="Heading2"/>
      </w:pPr>
      <w:r>
        <w:t>Erwägungen</w:t>
      </w:r>
    </w:p>
    <w:p>
      <w:r>
        <w:rPr>
          <w:b/>
        </w:rPr>
        <w:t>E. 3</w:t>
      </w:r>
    </w:p>
    <w:p>
      <w:r>
        <w:t>L’appelant reproche à la juridiction inférieure d’avoir rejeté sa prétention en paiement de la peine conventionnelle convenue sous chiffre n° 25 des conditions de vente figurant dans l’acte authentique du 1er avril 2010; il se plaint donc implicitement d’une transgression des articles 160 ss CO.</w:t>
      </w:r>
    </w:p>
    <w:p>
      <w:r>
        <w:rPr>
          <w:b/>
        </w:rPr>
        <w:t>E. 3.1.1</w:t>
      </w:r>
    </w:p>
    <w:p>
      <w:r>
        <w:t>Les parties au contrat peuvent prévoir une clause pénale, c'est-à-dire stipuler une peine pour le cas d'inexécution ou d'exécution imparfaite du contrat (cf. art. 160 CO). Les parties fixent librement le montant de la peine (art. 163 al. 1 CO). La clause pénale présente une triple caractéristique. Tout d’abord, elle est conditionnelle (1°), puisque l’exigibilité de la prestation à laquelle elle donne lieu dépend de l’inexécution - ou de la mauvaise exécution - de l’obligation principale (MOOSER, Commentaire romand, Code des obligations I, 2ème éd., 2012, n. 1 ad art. 160 CO et n. 13 ad art. 163 CO; COUCHEPIN, La clause pénale, Etude générale de l’institution et de quelques cas d’application pratiques dans le droit de la construction, thèse Fribourg 2008, no 410, p. 85). Régulièrement, les parties conviennent d’une peine conventionnelle pour une violation bien spécifique du contrat, par exemple en cas d’inobservation du lieu (cf. art. 160 al. 2 CO) ou du délai d’exécution (cf. ATF 116 II 441 consid. 2) ou encore en cas d’exécution défectueuse ("Schlechtleistung"); savoir pour quel cas la peine a été concrètement prévue se détermine d’après les principes généraux d’interprétation des contrats (cf., infra, consid. 3.1.2; BENTELE, Die Konventionalstrafe nach Art. 160 - 163, thèse Fribourg 1994, p. 6 et p. 44 s.; cf. ég. GAUCH/SCHLUEP/EMMENEGGER, Obligationenrecht, Allgemeiner Teil, vol. II, 10ème éd., 2014, no 3791, p. 340). Ensuite, la clause pénale est autonome (2°), puisqu’elle est</w:t>
      </w:r>
    </w:p>
    <w:p>
      <w:r>
        <w:t>- 26 - génératrice d’une obligation propre, ce qui a en particulier pour conséquence qu’elle connaît des causes d’extinction qui peuvent lui être propres, telles que la remise conventionnelle de dette ou la survenance d’un terme. Enfin, la clause pénale est accessoire (3°), puisqu’elle est au service de l’obligation principale, qu’elle renforce (MOOSER, loc. cit.; COUCHEPIN, op. cit., nos 395 ss, p. 83 s.); elle améliore la situation juridique du créancier en ce sens qu’elle le dispense de prouver son dommage et que, sauf convention contraire, elle est encourue même si l’intéressé n’a pas éprouvé de dommage (cf. art. 161 al. 1 CO; ATF 135 III 433 consid. 3.1 in fine; 122 III 420 consid. 2a). La peine conventionnelle est utilisée dans les domaines les plus divers, notamment dans les contrats de vente avec exécution différée (l’acheteur s’obligeant à verser un montant supplémentaire s’il ne s’acquitte pas du prix de vente à l’échéance du délai convenu), les contrats d’entreprise (la peine pouvant être déterminée en fonction du nombre de jours de retard dans l’exécution; cf. COUCHEPIN, op. cit., nos 1326 ss, p. 266 ss et no 1338, p. 268), les contrats de travail (afin de garantir des interdictions de concurrence selon l’article 340b CO; cf. MOOSER, n. 3 ad art. 160 CO; arrêt 4A_466/2012 du 12 novembre 2012 consid. 6.1) ou encore les contrats de mandat (en cas de résiliation du contrat en temps inopportun au sens de l’art. 404 al. 2 CO; cf. ATF 110 II 380 consid. 3a; arrêt 4A_601/2015 du 19 avril 2016 consid. 1.2.2). La convention relative à la clause pénale figure en principe dans le contrat principal; elle peut être passée sans forme (cf. art. 11 CO), voire par acte concluant, par l’effet de l’adhésion à des conclusions générales. Ce principe connaît une exception : si l’obliga- tion principale n’est valable que moyennant le respect d’une forme déterminée (par exemple, en matière de transfert de la propriété immobilière [cf. art. 657 CC]), celle-ci doit également être respectée, compte tenu de son caractère accessoire, pour la clause pénale (MOOSER, n. 7 ad art. 160 CO; cf. ég. EHRAT, Commentaire bâlois, Obligationenrecht I, 6ème éd., 2015, n. 11 ad art. 160 CO; GAUCH/SCHLUEP/EMMENEG- GER, op. cit., nos 3794 et 3975, p. 341).</w:t>
      </w:r>
    </w:p>
    <w:p>
      <w:r>
        <w:rPr>
          <w:b/>
        </w:rPr>
        <w:t>E. 3.1.2</w:t>
      </w:r>
    </w:p>
    <w:p>
      <w:r>
        <w:t>Selon l'article 18 al. 1 CO, pour apprécier le contenu d'un contrat, il y a lieu de rechercher la réelle et commune intention des parties, sans s'arrêter aux expressions ou dénominations inexactes dont elles ont pu se servir, soit par erreur, soit pour déguiser la nature véritable de la convention. Le juge doit tout d'abord s'attacher à rechercher la réelle et commune intention des parties (cf. art. 18 al. 1 CO). Constituent des indices en ce sens non seulement la</w:t>
      </w:r>
    </w:p>
    <w:p>
      <w:r>
        <w:t>- 27 -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(WINIGER, Commentaire romand, Code des obligations I, 2ème éd., 2012, n. 15, 25 et 32-34 ad art. 18 CO; KRAMER/SCHMIDLIN, Commentaire bernois, n. 22 ss ad art. 18 CO). Cette interprétation subjective repose sur l'appréciation des preuves. Si la cour parvient à se convaincre d'une commune et réelle intention des parties, elle tranche une constatation de fait (ATF 132 III 626 consid. 3.1; 131 III 606 consid. 4.1; arrêt 4A_65/2012 du 21 mai 2012 consid. 10.2). Si le juge ne parvient pas à déterminer cette volonté réelle des parties - parce que les preuves font défaut ou ne sont pas concluantes -, ou s'il constate qu'une partie n'a pas compris la volonté exprimée par l'autre à l'époque de la conclusion du contrat (ATF 131 III 280 consid. 3.1) - ce qui ne ressort pas déjà du simple fait qu'elle l'affirme en procédure, mais doit résulter de l'administration des preuves (arrêt 5C.252/2004 du 30 mai 2005 consid. 4.3) -, il doit recourir à l'interprétation normative ou objective (arrêt 4A_210/2015 du 2 octobre 2005 consid. 6.2.1). Le juge détermine alors le sens que, d'après les règles de la bonne foi, chacune des parties pouvait et devait raisonnablement prêter aux déclarations de volonté de l'autre (application du principe de la confiance; cf. ATF 133 III 61 consid. 2.2.1). Il doit donc rechercher comment une déclaration ou une attitude pouvait être comprise de bonne foi en fonction de l'ensemble des circonstances (ATF 136 III 186 consid. 3.2.1). La détermination de la volonté objective des parties, selon le principe de la confiance - qui est une question de droit -, s'effectue non seulement d'après le texte et le contexte des déclarations, mais également sur le vu des circonstances qui les ont précédées et accompagnées, à l'exclusion des événements postérieurs (ATF 132 III 626 consid. 3.1 in fine). Même si la teneur d'une clause contractuelle paraît claire à première vue, il peut résulter d'autres conditions du contrat, du but poursuivi par les parties ou d'autres circonstances que son texte ne restitue pas exactement le sens de l'accord conclu (ATF 136 III 186 consid. 3.2.1). Il n'y a cependant pas lieu de s'écarter du sens littéral du texte adopté par les intéressés lorsqu'il n'y a pas de raisons sérieuses de penser qu'il ne correspond pas à leur volonté (ATF 136 III 186 consid. 3.2.1). L'interprétation subjective a la priorité sur l'interprétation objective (ATF 123 III 35 consid. 2b). Le fardeau de l'allégation et le fardeau de la preuve de l'existence et du contenu d'une volonté subjective qui s'écarte du résultat de l'interprétation normative</w:t>
      </w:r>
    </w:p>
    <w:p>
      <w:r>
        <w:t>- 28 - est à la charge de la partie qui s'en prévaut (ATF 121 III 118 consid. 4b; cf. ég. ATF 123 III 35 consid. 2b). Les mêmes principes sont applicables à l'interprétation des déclarations de volonté unilatérales (ATF 127 III 444 consid. 1a; sur l’ensemble de la question, cf. arrêt 4A_210/2015 précité consid. 6.2.1 et 6.3.1).</w:t>
      </w:r>
    </w:p>
    <w:p>
      <w:r>
        <w:rPr>
          <w:b/>
        </w:rPr>
        <w:t>E. 3.1.3</w:t>
      </w:r>
    </w:p>
    <w:p>
      <w:r>
        <w:t>On parle de contrat mixte lorsque celui-ci combine dans un seul et même contrat des obligations relevant de plusieurs contrats nommés (ATF 131 III 528 consid. 7.1; 120 V 299 consid. 4a; 109 II 462 consid. 3d; KRAMER/SCHMIDLIN, n. 58 ad art. 19-20 CO), voire, dans une acception large, de contrats nommés et de contrats non prévus par la loi, ou même de contrats innommés seulement (arrêt 4C.84/2007 du 5 juillet 2007 consid. 3.1.2; ENGEL, Contrats de droit suisse, 2000, p. 740). Lorsqu'on se trouve confronté à un contrat mixte ou composé comprenant des éléments de différents types de contrat, il faut examiner précisément quelle est la question juridique posée pour déterminer quels sont les dispositions légales ou les principes juridiques auxquels il y a lieu de recourir pour la trancher (ATF 131 III 528 consid. 7.1; 118 II 157 consid. 2c; arrêt 4C.84/2007 précité consid. 3.1.3; cf. ég. KOLLER, Begriff und Rechtsgrundlagen des Grundstückkaufs, in Koller [Hrsg.], Der Grundstückkauf, 2ème éd., 2001, p. 17 ss, spéc. no 28, p. 24 s.). Dans le domaine immobilier, un contrat mixte se présente par exemple lorsque le vendeur s’engage à ériger un ouvrage sur la parcelle aliénée (cf. contrat de vente avec obligation de construire; ATF 118 II 142 consid. 1a) ou lorsque le vendeur, en contrepartie du transfert de propriété, obtient de l’acquéreur l’engagement qu’il l’entretienne et le soigne sa vie durant (cf. contrat viager; ATF 79 II 169; TERCIER/ CARRON/BIERI, op. cit., nos 6723 ss, p. 992 ss; pour ces exemples et d’autres, cf. KOLLER, op. cit., no 27, p. 24). Le contrat d’hébergement ou d’hôtellerie ("Gastaufnahmevertrag" ou "Hotelvertrag") constitue un contrat innommé, tendant à la fourniture d’une multiplicité de services, mais visant avant tout à procurer, contre rémunération, un logis meublé destiné au séjour individuel ou en groupe, prestation qui comprend des éléments du droit du bail (WIEDE, Reiserecht, 2014, no 412, p. 116; cf. ég. ATF 120 II 237 consid. 4a; arrêt 4A_461/2008 du 11 février 2009 consid. 4.2; AMSTUTZ/MORIN/SCHLUEP, Commentaire bâlois, Obligationenrecht I, 6ème éd., 2015, n. 295 rem. introd. ad art. 184 ss CO). Ce contrat comprend également la fourniture de services selon les dispositions du contrat de mandat (cf. art. 394 ss CO) ou d’entreprise (cf. nettoyage des chaussures et blanchissage), l’obligation de recevoir en dépôt les valeurs des clients (cf. art. 472 ss CO) et de préserver les effets apportés par eux (cf. art. 487 ss CO), et, enfin, la vente de boissons et de nourriture (cf. art. 184 ss CO; WIEDE, op. cit., no 413, p. 117).</w:t>
      </w:r>
    </w:p>
    <w:p>
      <w:r>
        <w:t>- 29 - Lorsque les prestations fournies par l’hôtelier divergent de celles convenues contractuellement, on se trouve en présence d’un défaut (BETTOJA, Der Gastauf- nahmevertrag, thèse Zurich 2000, p. 223). Celui-ci peut affecter le logement (confort ne correspondant pas à la classification de l’hôtel, installations ne fonctionnant pas ou mal [chauffage ou climatiseur], odeurs ou bruits incommodants), la subsistance (fournie en quantité moindre qu’escomptée ou de qualité insuffisante) ou les autres services (accueil peu sympathique du concierge, long temps d’attente pour le service, etc.; cf. BETTOJA, op. cit., p. 226 ss et les réf.). En fonction du type et de la gravité des défauts et de ses propres intentions, l’hôte pourra opter pour la réparation du défaut (cf. art. 259a let. a CO [bail] et 368 al. 2 CO [entreprise]), la résiliation du contrat (cf. art. 259b let. a CO) ou encore l’obtention d’une réduction du prix des services (art. 259a al. 1 let. b CO en lien avec l'art. 259d CO; art. 368 al. 2 et 205 al. 1 CO; BETTOJA, op. cit., p. 230 ss; sur ces options, cf. ég. COUCHEPIN, op. cit., nos 650 ss, 134) selon la méthode relative, en ce sens que le rapport entre le prix réduit et le prix convenu doit correspondre au rapport entre la valeur objective de la prestation avec défaut et celle de la prestation sans défaut (ATF 111 II 162 consid. 3a; arrêt 4A_65/2012 précité consid. 12.6).</w:t>
      </w:r>
    </w:p>
    <w:p>
      <w:r>
        <w:rPr>
          <w:b/>
        </w:rPr>
        <w:t>E. 3.2.1</w:t>
      </w:r>
    </w:p>
    <w:p>
      <w:r>
        <w:t>Bien qu’ayant essentiellement pour but le transfert, en faveur de l’appelant, de la propriété d’un appartement et de ses dépendances (caves, etc.), le contrat conclu en la forme authentique le 1er avril 2010 entre les parties tendait également à ce que l’acquéreur puisse bénéficier des services hôteliers de la société venderesse. Il ne s’agit ainsi pas d’un contrat de vente immobilière standard, mais bien d’un contrat mixte, combinant des éléments de la vente et du contrat d’hôtellerie (cf., supra, consid. 3.1.3). L’engagement pris par la société venderesse sous chiffre n° 25 des conditions de vente qu’elle-même, ou son éventuel successeur, procure à l’acquéreur "les services hôteliers usuels d’un établissement hôtelier haut de gamme (niveau cinq étoile, SSH Suisse)", était assorti d’une pénalité de 500 fr. par jour dans l’hypothèse où lesdites prestations ne pourraient être assurées. Cette disposition contractuelle constitue ainsi sans conteste une clause pénale, en cas d’inexécution ou de mauvaise exécution de l’obligation de fournir les services hôteliers du standard convenu; intégrée à l’acte authentique, indispensable en cas de contrat impliquant un transfert d’immeuble (cf. art. 216 al. 1 CO), elle est valable en la forme. En dépit des affirmations contraires de l’appelant, la réelle et commune volonté des parties à l’époque a pu être constatée, notamment sur la base des circonstances ayant</w:t>
      </w:r>
    </w:p>
    <w:p>
      <w:r>
        <w:t>- 30 - précédé la signature du contrat (cf. courriel du 17 février 2010) et de l’attitude ultérieure de l’acquéreur qui a attendu la fin de l’été 2011 pour se plaindre de l’absence de services durant les périodes de fermeture saisonnière de l’hôtel. Comme l’article n° 25 des conditions de vente a été interprété en ce sens qu’il ne garantissait nullement à l’acquéreur la fourniture de services hôteliers 365 jours par an, donc également en cas de fermeture saisonnière du "F_________" (cf., supra, consid. 2.4.3.4), la prétention en versement de la peine stipulée en cas d’inexécution du contrat est infondée.</w:t>
      </w:r>
    </w:p>
    <w:p>
      <w:r>
        <w:rPr>
          <w:b/>
        </w:rPr>
        <w:t>E. 3.2.2</w:t>
      </w:r>
    </w:p>
    <w:p>
      <w:r>
        <w:t>Dans une argumentation complémentaire, l’autorité de première instance a retenu que, même s’il devait subsister un doute concernant la réelle et commune volonté des parties, le recours - subsidiaire - à l’interprétation de la clause litigieuse selon le principe de la confiance (cf., supra, consid. 3.1.2) n’aboutirait pas à un résultat différent (jugement déféré, consid. 4.2.2, p. 12). L’appelant ne s’en est pas pris à cette seconde motivation, qui relève non plus de la constatation (inexacte) des faits, mais du droit. Outre le fait que la recevabilité du recours est déjà pour ce motif sujette à caution, faute pour l’appelant d’avoir attaqué la motivation alternative (ATF 138 III 728 consid. 3.4), celle-ci résiste à l’examen. En effet, vu la teneur du courriel du 17 février 2010 du représentant de l’acquéreur intéressé, la venderesse pouvait objectivement comprendre que ce dernier entendait obtenir, en rappelant que le prix était "motivé par le fait que l’appartement se situe dans un hôtel de première catégorie (5 étoiles luxe)" (cf., supra, consid. 2.2.2), la garantie que le standing de l’établissement et des services qu’il fournit ne change pas. En revanche, on cherche en vain dans le dossier la démonstration de l’appelant selon laquelle il aurait fait part à la venderesse, habituée aux fermetures durant la basse saison à l’instar de la grande majorité des hôtels à G_________, de son désir de disposer des services hôteliers 365 jours par an. Enfin, l’appelant ne saurait se prévaloir avec succès du principe en vertu duquel le juge, faute d’être parvenu à se forger une conviction concernant la réelle et commune volonté des parties, devrait "trancher les points douteux dans le sens favorable à la partie la plus faible au contrat" (appel, ch. 2.2.3, p. 8 s., spéc. p. 9). Il est vrai que, selon l'adage "in dubio contra stipulatorem", le juge doit subsidiairement, en présence de conditions ambiguës dont le principe de la confiance ne permet pas d'élucider entièrement le sens, retenir l'acception la plus favorable à la partie qui a adhéré aux conditions convenues sans avoir pris part à leur rédaction (ATF 122 III 118 consid. 2a; 118 II 342 consid. 1a; arrêt 4A_261/2016 du 27 juillet 2016 consid. 3). Dans la mesure où l’appelant a précisément demandé l’intégration de la clause pénale - et quand bien même celle-ci a été reprise par le notaire d’un précédent acte concernant un</w:t>
      </w:r>
    </w:p>
    <w:p>
      <w:r>
        <w:t>- 31 - appartement situé dans le même complexe hôtelier -, on ne peut en conclure que le premier nommé s’est contenté de souscrire à des conditions à la formulation desquelles il n’a pas participé. Partant, le grief de l’appelant est sans consistance, et celui-ci ne peut prétendre à ce que la clause litigieuse soit interprétée comme comportant l’engagement de la venderesse d’assurer des services hôteliers à longueur d’année, même durant les périodes de fermeture saisonnière habituelles.</w:t>
      </w:r>
    </w:p>
    <w:p>
      <w:r>
        <w:rPr>
          <w:b/>
        </w:rPr>
        <w:t>E. 3.2.3</w:t>
      </w:r>
    </w:p>
    <w:p>
      <w:r>
        <w:t>L’appelant n’a pas non plus entrepris la constatation de la juridiction précédente selon laquelle il avait renoncé, au vu de ses dernières conclusions formulées lors du débat final du 9 janvier 2015, à fonder son action en paiement sur l’éventuelle moins- value subie par son acquisition immobilière en raison de l’absence de services hôteliers durant les périodes de fermeture saisonnière de l’établissement (jugement entrepris, consid. 4.3, p. 12 s.). Même si tel avait été le cas, l’acquéreur aurait dû être débouté de cette prétention. Dans la mesure où, d’après les actes de la cause, l’appelant s’est, pour la première fois le 11 août 2011 (cf., supra, consid. 2.3.2), plaint auprès de la venderesse de la non-fourniture desdites prestations promises dans l’acte authentique, alors qu’il avait connaissance de ce défaut (selon sa propre interprétation du chiffre n° 25 des conditions de vente) "déjà au cours de l’année 2010" (cf. all. 14), son avis, qui constitue une incombance à observer préalablement à toute action minutoire (cf. BOHNET, Actions civiles, Commentaire pratique, 2014, n. 29 ad § 66, p. 822), est manifestement tardif. En effet, si - conformément à la jurisprudence fermement établie -, un avis des défauts communiqué deux ou trois jours ouvrables après la découverte de ceux-ci respecte la condition d'immédiateté prévue par la loi (ATF 98 II 191 consid. 4), sont en revanche tardifs des avis transmis dix-sept ou vingt jours après (ATF 118 II 142 consid. 3b; 107 II 172 consid. 1b; arrêts 4C.205/2003 du 17 novembre 2003 consid. 3.2 et 4D_4/2011 du 1er avril 2011 consid. 4.1).</w:t>
      </w:r>
    </w:p>
    <w:p>
      <w:r>
        <w:rPr>
          <w:b/>
        </w:rPr>
        <w:t>E. 4</w:t>
      </w:r>
    </w:p>
    <w:p>
      <w:r>
        <w:t>Mais il y a plus. Même si la clause disputée avait été interprétée dans le sens voulu par l’appelant, sa prétention en paiement de la peine prévue sous chiffre n° 25 des conditions de vente aurait dû être écartée pour le motif complémentaire suivant.</w:t>
      </w:r>
    </w:p>
    <w:p>
      <w:r>
        <w:rPr>
          <w:b/>
        </w:rPr>
        <w:t>E. 4.1.1</w:t>
      </w:r>
    </w:p>
    <w:p>
      <w:r>
        <w:t>L’obligation de s’acquitter de la peine est une obligation conditionnelle (cf., supra, consid. 3.1.1). Comme toute obligation soumise à condition suspensive, la clause pénale ne produit d’effets qu’à compter du moment où la condition s’accomplit (art. 151 al. 2 CO). La peine ne devient donc exigible qu’à partir de l’inexécution de l’obligation principale, et non pas à partir de n’importe quelle violation du contrat. Il peut s’agir de l’inexécution totale ou d’une mauvaise exécution, selon le contenu concret de</w:t>
      </w:r>
    </w:p>
    <w:p>
      <w:r>
        <w:t>- 32 - la clause (COUCHEPIN, op. cit., nos 671 et 672, p. 137 s.; cf. ég. MOOSER, n. 13 ad art. 163 CO). Lorsque l’obligation principale consiste en une prestation positive, le débiteur doit être en demeure à la suite de l’interpellation du créancier (cf. art. 102 al. 1 CO) ou à la survenance du terme convenu (cf. art. 102 al. 2 CO). La peine se déclenche dès la survenance de la demeure (simple). Dans les contrats bilatéraux, il n’y a pas lieu d’attendre l’expiration du délai de grâce (cf. art. 107 al. 1 CO), puisque la peine ne constitue pas un droit supplémentaire découlant des règles légales de la demeure qualifiée, mais un droit conventionnel dès la violation (COUCHEPIN, op. cit., no 676 et 677, p. 138 s.). Il n’est pas exclu que les parties conviennent du versement d’une peine conventionnelle pour différentes violations du contrat ou même pour chaque violation de celui-ci (BENTELE, op. cit., p. 45). Les clauses pénales de retard ne fixent en principe pas la quotité de la peine, mais uniquement une clé permettant de déterminer objectivement la peine en fonction du retard, par exemple 2000 fr. par jour ouvrable de retard dès l’échéance (COUCHEPIN, op. cit., no 463, p. 96); on parle alors de "peine variable", puisque celle-ci évolue en fonction de l’importance de la violation contractuelle, c’est-à-dire de la durée de retard depuis l’échéance. Ce type de clause doit donc retenir un étalon de mesure permettant de déterminer la quotité de la peine (COUCHEPIN, op. cit., no 1337, p. 268; sur le caractère au moins déterminable de la peine, cf. arrêt 4A_110/2012 du 9 octobre 2012 consid. 3.3.3; ATF 119 II 162 consid. 2; GAUCH/SCHLUEP/EMMENEGGER, op. cit., no 3789, p. 339 s.).</w:t>
      </w:r>
    </w:p>
    <w:p>
      <w:r>
        <w:rPr>
          <w:b/>
        </w:rPr>
        <w:t>E. 4.1.2</w:t>
      </w:r>
    </w:p>
    <w:p>
      <w:r>
        <w:t>Lorsque l’obligation principale consiste en l’inexécution (ou la mauvaise exécution) d’une prestation positive, et que le créancier allègue que le débiteur n’a pas, ou qu’imparfaitement, rempli l’obligation principale, le premier nommé devrait en principe prouver (cf. art. 8 CC) la violation du contrat, sur la base de laquelle il déduit son droit au paiement de la peine. Comme la preuve de l’inexécution, ou de la mauvaise exécution, ne peut être exigée du créancier en application du principe "negativa non sunt probanda", il appartient au débiteur d’apporter la preuve qu’il s’est exécuté (BENTELE, op. cit., p. 76 s. et les réf. à VON TUHR/ESCHER, Allgemeiner Teil des schweizerischen Obligationenrechts, 3ème éd., 1984, p. 281; cf. ég. MOOSER, n. 14 ad art. 163 CO; COUCHEPIN, op. cit., no 682, p. 139 s.). Savoir dans quelle mesure les faits doivent être allégués et motivés résulte, d’une part, des éléments constitutifs de la norme invoquée par la partie demanderesse et, d’autre part, du comportement procédural de son adverse partie (ATF 127 III 365 consid. 2b; arrêt 4A_57/2014 du 8 mai 2014 consid. 1.3.3 et les réf.). Une allégation de fait n’a pas</w:t>
      </w:r>
    </w:p>
    <w:p>
      <w:r>
        <w:t>- 33 - besoin de contenir tous les détails; il suffit que le fait soit allégué dans ses traits essentiels d’après l’expérience générale de la vie (ATF 136 III 322 consid. 3.4.2; arrêt 4A_591/2012 du 20 février 2013 consid. 2.1). Cette première phase correspond à celle du fardeau de l’allégation ("Behauptungslast"; JEANNIN/BOHNET, Les pièges du fardeau de l’allégation en procédure civile suisse, in Jusletter du 16 novembre 2015, p. 4; DOLGE, Anforderungen an die Substantiierung, in Dolge et al. [Hrsg.], Substantiieren und Beweisen : praktische Probleme, 2013, p. 17 ss, spéc. p. 19 ss). Lorsque la partie adverse conteste ces faits, la première partie doit les exposer de manière plus précise, et non pas seulement dans leurs traits essentiels ("nicht nur in den Grundzügen"), de telle sorte que la preuve (ou contre-preuve) puisse être administrée à leur propos (ATF 127 III 365 consid. 2b; sur l’ensemble de la question, cf. arrêt 4A_195/2014 du 27 novembre 2014 consid. 7.3.2, non publié in ATF 142 III 602). Cette seconde phase correspond à celle du fardeau de la motivation ("Substantiierungslast"; JEANNIN/BOH- NET, loc. cit.; DOLGE, loc. cit.; en matière de clause pénale, cf. ég. arrêt 4A_268/2016 du 14 décembre 2016 consid. 4.1 destiné à publication).</w:t>
      </w:r>
    </w:p>
    <w:p>
      <w:r>
        <w:rPr>
          <w:b/>
        </w:rPr>
        <w:t>E. 4.2</w:t>
      </w:r>
    </w:p>
    <w:p>
      <w:r>
        <w:t>En l’espèce, le chiffre n° 25 des conditions de vente instituait à la charge de la venderesse l’obligation de s’acquitter, dans le cas où les services hôteliers usuels d’un établissement haut de gamme (niveau cinq étoiles, SSH) ne pouvaient être fournis, d’une pénalité de 500 fr. par jour. Les parties sont ainsi convenues d’une peine dite variable, l’ampleur de celle-ci dépendant du nombre de jours pendant lesquels la venderesse ne serait pas en mesure de procurer les services hôteliers selon le standing convenu. Si, conformément à ce qui vient d’être exposé ci-avant (cf., supra, consid., 4.1.2), il appartenait à la partie défenderesse d’établir avoir, contrairement aux affirmations du demandeur, (bien) exécuté les prestations promises, il incombait en revanche au second nommé d’alléguer et prouver les jours ou périodes pendant lesquelles il n’avait pu bénéficier des services, afin de permettre la détermination de la peine globale. A ce titre, l’appelant a, dans sa demande du 27 août 2012, avancé avoir constaté que le service disputé n’avait pas été assuré "durant soixante-neuf jours […] au cours de l’année 2010", puis du 1er mai au 17 juin 2011, "en automne 2011" et, enfin, du 29 avril au 15 juin 2012 (cf. all. 14, 15 et 18). Dans sa réponse, la société défenderesse a contesté les assertions qui précédent et souligné que, "bien que prétendant habiter à l’année au sein de son appartement, le demandeur n’[était] pas à même d’apporter la preuve de ses allégations contenues sous chiffres 14, 15 et 18 de sa demande", se contentant "d’énoncer un nombre de jours de fermeture par année sans pour autant pouvoir les situer dans le temps" (cf. all. 49 [contesté]). Ce faisant, la défenderesse n’a pas seulement réfuté de manière globale les affirmations du</w:t>
      </w:r>
    </w:p>
    <w:p>
      <w:r>
        <w:t>- 34 - demandeur, mais a exposé les raisons de sa contestation et ainsi invité celui-ci à exposer de manière plus précise les dates - qu’il était le mieux à même de connaître - auxquelles les prestations promises ne lui avaient pas été fournies et de proposer l’administration de preuves à ce sujet. Or, ce n’est en définitive qu’au stade de la plaidoirie finale du 9 janvier 2015 que le demandeur a, sans que les conditions de l’article 229 al. 1 CPC ("faits et moyens de preuve nouveaux") ne soient réunies, indiqué le nombre de jours - mais non pas encore les dates précises -, de 2010 à 2014 inclusivement, pendant lesquels il n’aurait pas bénéficié des services hôteliers. L’ampleur de la peine réclamée n’a ainsi pas été suffisamment alléguée en temps utile par le demandeur, et encore moins établie, l’intéressé n’ayant, dans son écriture d’appel, pipé mot au sujet des moyens de preuve supposés étayer le nombre exact de jours où les services ne lui auraient pas été procurés par la défenderesse. Il convient de relever à cet égard que même les indications contenues dans les listes transmises par G_________ Tourisme ne correspondaient pas nécessairement aux dates effectives d’ouverture (respectivement de fermeture) des établissements - dont "F_________"-, comme cet organisme a pris le soin de le spécifier dans son courrier du 28 novembre 2013 (cf., supra, consid. 2.3.1). Il s’ensuit que le demandeur ayant failli à alléguer et établir, comme on pouvait l’attendre de lui, le nombre exact de jours durant lesquels il n’a pas pu bénéficier des services hôteliers lors de sa présence dans son appartement à G_________ - soit l’un des facteurs préétabli de calcul de la clause pénale -, il ne saurait, en tout état de cause, prétendre au paiement de la pénalité de 500 fr. par jour prévue au chiffre n° 25 des conditions générales de l’acte de vente, indépendamment de la portée à donner à cette clause.</w:t>
      </w:r>
    </w:p>
    <w:p>
      <w:r>
        <w:rPr>
          <w:b/>
        </w:rPr>
        <w:t>E. 5</w:t>
      </w:r>
    </w:p>
    <w:p>
      <w:r>
        <w:t>En résumé, l’appel étant en tous points mal fondé, le premier jugement doit être confirmé, et l’appelant se voir débouter de l’ensemble de ses conclusions.</w:t>
      </w:r>
    </w:p>
    <w:p>
      <w:r>
        <w:rPr>
          <w:b/>
        </w:rPr>
        <w:t>E. 6.1</w:t>
      </w:r>
    </w:p>
    <w:p>
      <w:r>
        <w:t>Vu le sort de l’appel, il n’y a pas lieu de modifier le montant et la répartition des frais et des dépens de première instance (art. 318 al. 3 CPC a contrario), non spécifiquement contestés. Dans ces circonstances, pour les motifs exposés par la juridiction inférieure (cf. jugement entrepris, consid. 5.1, p. 13 s.), les frais de première instance, fixés conformément aux dispositions applicables (art. 13 et 16 LTar : de 9000 fr. à 42'000 fr. pour une valeur litigieuse comprise entre 200'001 fr. et 500'000 fr. [in casu, 211'575 fr.; cf., supra, consid. 1.1]) à 11'170 fr., débours, par 830 fr., en sus (330 fr. [témoins]; 100 fr. [huissier]; 400 fr. [édition de pièces]) - soit en définitive</w:t>
      </w:r>
    </w:p>
    <w:p>
      <w:r>
        <w:t>- 35 - 12'000 fr. -, sont, vu le sort de l’action (cf. art. 106 al. 1 CPC), mis à la charge du demandeur, qui succombe; celui-ci restituera en outre à la défenderesse l’avance de frais effectuée par elle à concurrence de 150 fr. (cf. art. 111 al. 2 CPC) et se verra facturer par le greffe du tribunal de première instance, compte tenu des avances versées, la différence de 2700 fr. (12'000 fr. - 9150 fr. - 150 fr.). Quant aux dépens auxquels la défenderesse peut prétendre pour la procédure de première instance, ils sont, compte tenu de l’activité utilement déployée par son mandataire décrite dans le jugement de première instance auquel il est renvoyé (cf. consid. 5.2, p. 14 s.), arrêtés à 14'000 fr., TVA et débours compris (cf. art. 32 al. 1 LTar). Au final, le demandeur, qui succombe et supporte ses propres frais d’intervention en justice, versera à la défenderesse une indemnité de 14'000 fr. à titre de dépens.</w:t>
      </w:r>
    </w:p>
    <w:p>
      <w:r>
        <w:rPr>
          <w:b/>
        </w:rPr>
        <w:t>E. 6.2</w:t>
      </w:r>
    </w:p>
    <w:p>
      <w:r>
        <w:t>Compte tenu de la valeur litigieuse, du degré de difficulté ordinaire de la cause en fait et en droit, ainsi que des principes de la couverture des frais et de l’équivalence des prestations (art. 13 LTar), les frais judiciaires en instance d’appel, correspondant à l’émolument forfaitaire de justice, sont arrêtés à 7000 fr. (art. 16 et 19 LTar). Vu le sort de la procédure de seconde instance, ces frais sont mis à la charge de l’appelant (art. 106 al. 1 CPC) et prélevés sur l’avance effectuée. Sur le vu notamment de l’activité utilement déployée par le conseil de l’appelée, qui a consisté essentiellement en la rédaction d’une réponse à l’appel motivée en fait et en droit, ainsi que des autres critères susmentionnés (cf. art. 27, 29, 32 al. 1 et 35 al. 1 LTar), l’indemnité à titre de dépens est arrêtée à 4000 fr., honoraires, TVA et débours compris. A l’instar des frais, cette indemnité est mise à la charge de l’appelant, qui succombe et supporte ses propres frais d’intervention en seconde instance également.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